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74759" w14:textId="4B23F5DA" w:rsidR="00E25A87" w:rsidRPr="0073702F" w:rsidRDefault="00E25A87" w:rsidP="00E25A8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bookmarkStart w:id="0" w:name="_Hlk492190689"/>
      <w:r w:rsidRPr="0073702F">
        <w:rPr>
          <w:rFonts w:ascii="Arial" w:hAnsi="Arial" w:cs="Arial"/>
          <w:b/>
          <w:bCs/>
        </w:rPr>
        <w:t>3G</w:t>
      </w:r>
      <w:r>
        <w:rPr>
          <w:rFonts w:ascii="Arial" w:hAnsi="Arial" w:cs="Arial"/>
          <w:b/>
          <w:bCs/>
        </w:rPr>
        <w:t>PP TSG RAN WG1 #11</w:t>
      </w:r>
      <w:r w:rsidR="00F01BB3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R1-230</w:t>
      </w:r>
      <w:r w:rsidR="00831D1C">
        <w:rPr>
          <w:rFonts w:ascii="Arial" w:hAnsi="Arial" w:cs="Arial"/>
          <w:b/>
          <w:bCs/>
        </w:rPr>
        <w:t>613</w:t>
      </w:r>
      <w:r w:rsidR="00B27547">
        <w:rPr>
          <w:rFonts w:ascii="Arial" w:hAnsi="Arial" w:cs="Arial"/>
          <w:b/>
          <w:bCs/>
        </w:rPr>
        <w:t>7</w:t>
      </w:r>
      <w:bookmarkStart w:id="1" w:name="_GoBack"/>
      <w:bookmarkEnd w:id="1"/>
    </w:p>
    <w:p w14:paraId="4DC6E547" w14:textId="3B1CCD8E" w:rsidR="00E93E89" w:rsidRPr="008F3CAE" w:rsidRDefault="00F01BB3" w:rsidP="00E25A87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2E468D">
        <w:rPr>
          <w:rFonts w:ascii="Arial" w:eastAsia="MS Mincho" w:hAnsi="Arial" w:cs="Arial"/>
          <w:b/>
          <w:bCs/>
          <w:lang w:eastAsia="ja-JP"/>
        </w:rPr>
        <w:t>Incheon, Korea, May 22</w:t>
      </w:r>
      <w:r w:rsidRPr="002E468D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Pr="002E468D">
        <w:rPr>
          <w:rFonts w:ascii="Arial" w:eastAsia="MS Mincho" w:hAnsi="Arial" w:cs="Arial"/>
          <w:b/>
          <w:bCs/>
          <w:lang w:eastAsia="ja-JP"/>
        </w:rPr>
        <w:t xml:space="preserve"> – May 26</w:t>
      </w:r>
      <w:r w:rsidRPr="002E468D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2E468D">
        <w:rPr>
          <w:rFonts w:ascii="Arial" w:eastAsia="MS Mincho" w:hAnsi="Arial" w:cs="Arial"/>
          <w:b/>
          <w:bCs/>
          <w:lang w:eastAsia="ja-JP"/>
        </w:rPr>
        <w:t>, 2023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6DF9DDA6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 xml:space="preserve">to RAN4 on </w:t>
      </w:r>
      <w:r w:rsidR="00E45E61">
        <w:rPr>
          <w:rFonts w:ascii="Arial" w:hAnsi="Arial" w:cs="Arial"/>
        </w:rPr>
        <w:t xml:space="preserve">TDCP </w:t>
      </w:r>
      <w:r w:rsidR="00DA48E3">
        <w:rPr>
          <w:rFonts w:ascii="Arial" w:hAnsi="Arial" w:cs="Arial"/>
        </w:rPr>
        <w:t>Agreement for Rel-18 MIMO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proofErr w:type="spellStart"/>
      <w:r w:rsidR="00913A80" w:rsidRPr="0013648A">
        <w:rPr>
          <w:rFonts w:ascii="Arial" w:hAnsi="Arial" w:cs="Arial"/>
        </w:rPr>
        <w:t>NR_MIMO_evo_DL_UL</w:t>
      </w:r>
      <w:proofErr w:type="spellEnd"/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CE08FD0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27547">
        <w:rPr>
          <w:rFonts w:ascii="Arial" w:hAnsi="Arial" w:cs="Arial"/>
          <w:bCs/>
        </w:rPr>
        <w:t>RAN1</w:t>
      </w:r>
    </w:p>
    <w:p w14:paraId="2C7502EB" w14:textId="7EC88ACB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RAN4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05E9A" w14:textId="23F38FE9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RAN4 about the following agreement pertaining to TDCP (time-domain channel property) calculation</w:t>
      </w:r>
      <w:r w:rsidR="007E2D76" w:rsidRPr="00E17308">
        <w:rPr>
          <w:sz w:val="22"/>
          <w:szCs w:val="22"/>
        </w:rPr>
        <w:t xml:space="preserve">. </w:t>
      </w:r>
    </w:p>
    <w:p w14:paraId="602A5082" w14:textId="447C2A91" w:rsidR="007E2D76" w:rsidRPr="00E17308" w:rsidRDefault="007E2D76" w:rsidP="007F1A8A">
      <w:pPr>
        <w:snapToGrid w:val="0"/>
        <w:jc w:val="both"/>
        <w:rPr>
          <w:sz w:val="22"/>
          <w:szCs w:val="22"/>
        </w:rPr>
      </w:pPr>
    </w:p>
    <w:p w14:paraId="5D9D8957" w14:textId="3528E272" w:rsidR="009A7896" w:rsidRPr="00E17308" w:rsidRDefault="009A7896" w:rsidP="009A7896">
      <w:pPr>
        <w:widowControl w:val="0"/>
        <w:snapToGrid w:val="0"/>
        <w:rPr>
          <w:b/>
          <w:sz w:val="22"/>
          <w:szCs w:val="22"/>
          <w:highlight w:val="green"/>
        </w:rPr>
      </w:pPr>
      <w:r w:rsidRPr="00E17308">
        <w:rPr>
          <w:b/>
          <w:sz w:val="22"/>
          <w:szCs w:val="22"/>
          <w:highlight w:val="green"/>
          <w:u w:val="single"/>
        </w:rPr>
        <w:t>Agreement</w:t>
      </w:r>
      <w:r w:rsidRPr="00E17308">
        <w:rPr>
          <w:b/>
          <w:sz w:val="22"/>
          <w:szCs w:val="22"/>
          <w:highlight w:val="green"/>
        </w:rPr>
        <w:t xml:space="preserve">: </w:t>
      </w:r>
    </w:p>
    <w:p w14:paraId="7FAAC37D" w14:textId="77777777" w:rsidR="009A7896" w:rsidRPr="00E17308" w:rsidRDefault="009A7896" w:rsidP="009A7896">
      <w:pPr>
        <w:widowControl w:val="0"/>
        <w:snapToGrid w:val="0"/>
        <w:rPr>
          <w:sz w:val="22"/>
          <w:szCs w:val="22"/>
        </w:rPr>
      </w:pPr>
      <w:r w:rsidRPr="00E17308">
        <w:rPr>
          <w:rFonts w:eastAsia="Calibri"/>
          <w:sz w:val="22"/>
          <w:szCs w:val="22"/>
        </w:rPr>
        <w:t>For the Rel-18 TRS-based TDCP reporting, for a configured value of Y and a set of configured delay values {D</w:t>
      </w:r>
      <w:r w:rsidRPr="00E17308">
        <w:rPr>
          <w:rFonts w:eastAsia="Calibri"/>
          <w:sz w:val="22"/>
          <w:szCs w:val="22"/>
          <w:vertAlign w:val="subscript"/>
        </w:rPr>
        <w:t>1</w:t>
      </w:r>
      <w:r w:rsidRPr="00E17308">
        <w:rPr>
          <w:rFonts w:eastAsia="Calibri"/>
          <w:sz w:val="22"/>
          <w:szCs w:val="22"/>
        </w:rPr>
        <w:t>, …, D</w:t>
      </w:r>
      <w:r w:rsidRPr="00E17308">
        <w:rPr>
          <w:rFonts w:eastAsia="Calibri"/>
          <w:sz w:val="22"/>
          <w:szCs w:val="22"/>
          <w:vertAlign w:val="subscript"/>
        </w:rPr>
        <w:t>Y</w:t>
      </w:r>
      <w:r w:rsidRPr="00E17308">
        <w:rPr>
          <w:rFonts w:eastAsia="Calibri"/>
          <w:sz w:val="22"/>
          <w:szCs w:val="22"/>
        </w:rPr>
        <w:t>}, for the n-</w:t>
      </w:r>
      <w:proofErr w:type="spellStart"/>
      <w:r w:rsidRPr="00E17308">
        <w:rPr>
          <w:rFonts w:eastAsia="Calibri"/>
          <w:sz w:val="22"/>
          <w:szCs w:val="22"/>
        </w:rPr>
        <w:t>th</w:t>
      </w:r>
      <w:proofErr w:type="spellEnd"/>
      <w:r w:rsidRPr="00E17308">
        <w:rPr>
          <w:rFonts w:eastAsia="Calibri"/>
          <w:sz w:val="22"/>
          <w:szCs w:val="22"/>
        </w:rPr>
        <w:t xml:space="preserve"> delay </w:t>
      </w:r>
      <w:proofErr w:type="spellStart"/>
      <w:r w:rsidRPr="00E17308">
        <w:rPr>
          <w:rFonts w:eastAsia="Calibri"/>
          <w:sz w:val="22"/>
          <w:szCs w:val="22"/>
        </w:rPr>
        <w:t>D</w:t>
      </w:r>
      <w:r w:rsidRPr="00E17308">
        <w:rPr>
          <w:rFonts w:eastAsia="Calibri"/>
          <w:sz w:val="22"/>
          <w:szCs w:val="22"/>
          <w:vertAlign w:val="subscript"/>
        </w:rPr>
        <w:t>n</w:t>
      </w:r>
      <w:proofErr w:type="spellEnd"/>
      <w:r w:rsidRPr="00E17308">
        <w:rPr>
          <w:rFonts w:eastAsia="Calibri"/>
          <w:sz w:val="22"/>
          <w:szCs w:val="22"/>
        </w:rPr>
        <w:t xml:space="preserve"> (n=1, …, Y), the respective TDCP </w:t>
      </w:r>
      <w:r w:rsidRPr="00E17308">
        <w:rPr>
          <w:sz w:val="22"/>
          <w:szCs w:val="22"/>
        </w:rPr>
        <w:t xml:space="preserve">calculation is defined as wideband normalized correlation between two TRS symbols separated by </w:t>
      </w:r>
      <w:proofErr w:type="spellStart"/>
      <w:r w:rsidRPr="00E17308">
        <w:rPr>
          <w:sz w:val="22"/>
          <w:szCs w:val="22"/>
        </w:rPr>
        <w:t>D</w:t>
      </w:r>
      <w:r w:rsidRPr="00E17308">
        <w:rPr>
          <w:sz w:val="22"/>
          <w:szCs w:val="22"/>
          <w:vertAlign w:val="subscript"/>
        </w:rPr>
        <w:t>n</w:t>
      </w:r>
      <w:proofErr w:type="spellEnd"/>
      <w:r w:rsidRPr="00E17308">
        <w:rPr>
          <w:sz w:val="22"/>
          <w:szCs w:val="22"/>
        </w:rPr>
        <w:t xml:space="preserve"> symbols</w:t>
      </w:r>
    </w:p>
    <w:p w14:paraId="551AA066" w14:textId="77777777" w:rsidR="009A7896" w:rsidRPr="00E17308" w:rsidRDefault="009A7896" w:rsidP="009A7896">
      <w:pPr>
        <w:pStyle w:val="ListParagraph"/>
        <w:widowControl w:val="0"/>
        <w:numPr>
          <w:ilvl w:val="0"/>
          <w:numId w:val="33"/>
        </w:numPr>
        <w:snapToGrid w:val="0"/>
        <w:contextualSpacing w:val="0"/>
        <w:rPr>
          <w:sz w:val="22"/>
          <w:szCs w:val="22"/>
        </w:rPr>
      </w:pPr>
      <w:r w:rsidRPr="00E17308">
        <w:rPr>
          <w:sz w:val="22"/>
          <w:szCs w:val="22"/>
        </w:rPr>
        <w:t>Send a LS to RAN4 to solicit their inputs on whether additional description/definition is needed, e.g. averaging across RX ports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42AD929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RAN4</w:t>
      </w:r>
    </w:p>
    <w:p w14:paraId="5860058A" w14:textId="68F17DBD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 xml:space="preserve">RAN4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>
        <w:rPr>
          <w:iCs/>
          <w:color w:val="000000"/>
          <w:sz w:val="22"/>
          <w:szCs w:val="22"/>
          <w:lang w:eastAsia="ko-KR"/>
        </w:rPr>
        <w:t xml:space="preserve"> and inform RAN1 if additional description is needed for TDCP calculation.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3BA30A3D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9C46BA">
        <w:rPr>
          <w:bCs/>
          <w:sz w:val="22"/>
          <w:szCs w:val="22"/>
        </w:rPr>
        <w:t>4</w:t>
      </w:r>
      <w:r w:rsidRPr="00115C5B">
        <w:rPr>
          <w:bCs/>
          <w:sz w:val="22"/>
          <w:szCs w:val="22"/>
        </w:rPr>
        <w:t xml:space="preserve">                      </w:t>
      </w:r>
      <w:r w:rsidR="00620375">
        <w:rPr>
          <w:bCs/>
          <w:sz w:val="22"/>
          <w:szCs w:val="22"/>
        </w:rPr>
        <w:t>21</w:t>
      </w:r>
      <w:r w:rsidR="00620375">
        <w:rPr>
          <w:bCs/>
          <w:sz w:val="22"/>
          <w:szCs w:val="22"/>
          <w:vertAlign w:val="superscript"/>
        </w:rPr>
        <w:t>st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620375">
        <w:rPr>
          <w:bCs/>
          <w:sz w:val="22"/>
          <w:szCs w:val="22"/>
        </w:rPr>
        <w:t>5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</w:t>
      </w:r>
      <w:r w:rsidR="00620375">
        <w:rPr>
          <w:bCs/>
          <w:sz w:val="22"/>
          <w:szCs w:val="22"/>
        </w:rPr>
        <w:t>ugust</w:t>
      </w:r>
      <w:r w:rsidRPr="00115C5B">
        <w:rPr>
          <w:bCs/>
          <w:sz w:val="22"/>
          <w:szCs w:val="22"/>
        </w:rPr>
        <w:t>, 202</w:t>
      </w:r>
      <w:r w:rsidR="007E2D76">
        <w:rPr>
          <w:bCs/>
          <w:sz w:val="22"/>
          <w:szCs w:val="22"/>
        </w:rPr>
        <w:t>3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="009C46BA">
        <w:rPr>
          <w:bCs/>
          <w:sz w:val="22"/>
          <w:szCs w:val="22"/>
        </w:rPr>
        <w:t>Toulouse</w:t>
      </w:r>
      <w:r w:rsidR="007675BF">
        <w:rPr>
          <w:bCs/>
          <w:sz w:val="22"/>
          <w:szCs w:val="22"/>
        </w:rPr>
        <w:t>, France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71BA6" w14:textId="77777777" w:rsidR="0022582D" w:rsidRDefault="0022582D" w:rsidP="00A0385F">
      <w:r>
        <w:separator/>
      </w:r>
    </w:p>
  </w:endnote>
  <w:endnote w:type="continuationSeparator" w:id="0">
    <w:p w14:paraId="55C6F3C3" w14:textId="77777777" w:rsidR="0022582D" w:rsidRDefault="0022582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24E2B" w14:textId="77777777" w:rsidR="0022582D" w:rsidRDefault="0022582D" w:rsidP="00A0385F">
      <w:r>
        <w:separator/>
      </w:r>
    </w:p>
  </w:footnote>
  <w:footnote w:type="continuationSeparator" w:id="0">
    <w:p w14:paraId="37031586" w14:textId="77777777" w:rsidR="0022582D" w:rsidRDefault="0022582D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7"/>
  </w:num>
  <w:num w:numId="5">
    <w:abstractNumId w:val="9"/>
  </w:num>
  <w:num w:numId="6">
    <w:abstractNumId w:val="3"/>
  </w:num>
  <w:num w:numId="7">
    <w:abstractNumId w:val="17"/>
  </w:num>
  <w:num w:numId="8">
    <w:abstractNumId w:val="24"/>
  </w:num>
  <w:num w:numId="9">
    <w:abstractNumId w:val="5"/>
  </w:num>
  <w:num w:numId="10">
    <w:abstractNumId w:val="20"/>
  </w:num>
  <w:num w:numId="11">
    <w:abstractNumId w:val="25"/>
  </w:num>
  <w:num w:numId="12">
    <w:abstractNumId w:val="18"/>
  </w:num>
  <w:num w:numId="13">
    <w:abstractNumId w:val="18"/>
    <w:lvlOverride w:ilvl="0">
      <w:startOverride w:val="1"/>
    </w:lvlOverride>
  </w:num>
  <w:num w:numId="14">
    <w:abstractNumId w:val="30"/>
  </w:num>
  <w:num w:numId="15">
    <w:abstractNumId w:val="26"/>
  </w:num>
  <w:num w:numId="16">
    <w:abstractNumId w:val="10"/>
  </w:num>
  <w:num w:numId="17">
    <w:abstractNumId w:val="28"/>
  </w:num>
  <w:num w:numId="18">
    <w:abstractNumId w:val="11"/>
  </w:num>
  <w:num w:numId="19">
    <w:abstractNumId w:val="2"/>
  </w:num>
  <w:num w:numId="20">
    <w:abstractNumId w:val="4"/>
  </w:num>
  <w:num w:numId="21">
    <w:abstractNumId w:val="27"/>
  </w:num>
  <w:num w:numId="22">
    <w:abstractNumId w:val="16"/>
  </w:num>
  <w:num w:numId="23">
    <w:abstractNumId w:val="12"/>
  </w:num>
  <w:num w:numId="24">
    <w:abstractNumId w:val="22"/>
  </w:num>
  <w:num w:numId="25">
    <w:abstractNumId w:val="8"/>
  </w:num>
  <w:num w:numId="26">
    <w:abstractNumId w:val="14"/>
  </w:num>
  <w:num w:numId="27">
    <w:abstractNumId w:val="0"/>
  </w:num>
  <w:num w:numId="28">
    <w:abstractNumId w:val="21"/>
  </w:num>
  <w:num w:numId="29">
    <w:abstractNumId w:val="6"/>
  </w:num>
  <w:num w:numId="30">
    <w:abstractNumId w:val="29"/>
  </w:num>
  <w:num w:numId="31">
    <w:abstractNumId w:val="1"/>
  </w:num>
  <w:num w:numId="32">
    <w:abstractNumId w:val="31"/>
  </w:num>
  <w:num w:numId="3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40BE"/>
    <w:rsid w:val="006177C7"/>
    <w:rsid w:val="00620375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C69A0-039F-493D-977B-C3B07675D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43</cp:revision>
  <cp:lastPrinted>2002-04-23T06:10:00Z</cp:lastPrinted>
  <dcterms:created xsi:type="dcterms:W3CDTF">2021-01-31T23:25:00Z</dcterms:created>
  <dcterms:modified xsi:type="dcterms:W3CDTF">2023-05-25T05:45:00Z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